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1371600" cy="1520865"/>
            <wp:docPr id="1" name="Picture 1"/>
            <wp:cNvGraphicFramePr>
              <a:graphicFrameLocks noChangeAspect="1"/>
            </wp:cNvGraphicFramePr>
            <a:graphic>
              <a:graphicData uri="http://schemas.openxmlformats.org/drawingml/2006/picture">
                <pic:pic>
                  <pic:nvPicPr>
                    <pic:cNvPr id="0" name="1000752962.png"/>
                    <pic:cNvPicPr/>
                  </pic:nvPicPr>
                  <pic:blipFill>
                    <a:blip r:embed="rId9"/>
                    <a:stretch>
                      <a:fillRect/>
                    </a:stretch>
                  </pic:blipFill>
                  <pic:spPr>
                    <a:xfrm>
                      <a:off x="0" y="0"/>
                      <a:ext cx="1371600" cy="1520865"/>
                    </a:xfrm>
                    <a:prstGeom prst="rect"/>
                  </pic:spPr>
                </pic:pic>
              </a:graphicData>
            </a:graphic>
          </wp:inline>
        </w:drawing>
      </w:r>
    </w:p>
    <w:p>
      <w:pPr>
        <w:pStyle w:val="Heading1"/>
        <w:jc w:val="center"/>
      </w:pPr>
      <w:r>
        <w:t>ANWAR ARIS</w:t>
      </w:r>
    </w:p>
    <w:p>
      <w:pPr>
        <w:jc w:val="center"/>
      </w:pPr>
      <w:r>
        <w:t>No.16, Jln Hijau 3/6, Greenvalley Park,</w:t>
        <w:br/>
        <w:t>48020 Rawang, Selangor, Malaysia</w:t>
        <w:br/>
        <w:t>Phone: +60136411254</w:t>
        <w:br/>
        <w:t>Email: anwararis90@gmail.com</w:t>
      </w:r>
    </w:p>
    <w:p>
      <w:pPr>
        <w:pStyle w:val="Heading2"/>
      </w:pPr>
      <w:r>
        <w:t>PROFESSIONAL SUMMARY</w:t>
      </w:r>
    </w:p>
    <w:p>
      <w:r>
        <w:t>Dedicated Dialysis Nurse with over 8 years of renal nursing experience since 2017. Experienced in managing high-volume dialysis units with 22 machines per shift. Skilled in independent hemodialysis management, AV fistula and CVC cannulation, dialysis complication management, and infection control compliance. Recognized as Best Staff among 14 branches for outstanding clinical performance and patient-centered care. Seeking to contribute expertise within Singapore’s healthcare system.</w:t>
      </w:r>
    </w:p>
    <w:p>
      <w:pPr>
        <w:pStyle w:val="Heading2"/>
      </w:pPr>
      <w:r>
        <w:t>CORE COMPETENCIES</w:t>
      </w:r>
    </w:p>
    <w:p>
      <w:pPr>
        <w:pStyle w:val="ListBullet"/>
      </w:pPr>
      <w:r>
        <w:t>Hemodialysis Treatment Management (22 Machines per Shift)</w:t>
      </w:r>
    </w:p>
    <w:p>
      <w:pPr>
        <w:pStyle w:val="ListBullet"/>
      </w:pPr>
      <w:r>
        <w:t>AV Fistula, AV Graft &amp; CVC Cannulation</w:t>
      </w:r>
    </w:p>
    <w:p>
      <w:pPr>
        <w:pStyle w:val="ListBullet"/>
      </w:pPr>
      <w:r>
        <w:t>Pre &amp; Post Dialysis Patient Assessment</w:t>
      </w:r>
    </w:p>
    <w:p>
      <w:pPr>
        <w:pStyle w:val="ListBullet"/>
      </w:pPr>
      <w:r>
        <w:t>Dialysis Complication Management (Hypotension, Cramps, Reactions)</w:t>
      </w:r>
    </w:p>
    <w:p>
      <w:pPr>
        <w:pStyle w:val="ListBullet"/>
      </w:pPr>
      <w:r>
        <w:t>Infection Prevention &amp; Control Compliance</w:t>
      </w:r>
    </w:p>
    <w:p>
      <w:pPr>
        <w:pStyle w:val="ListBullet"/>
      </w:pPr>
      <w:r>
        <w:t>Medication Administration (EPO, IV Iron, Heparin)</w:t>
      </w:r>
    </w:p>
    <w:p>
      <w:pPr>
        <w:pStyle w:val="ListBullet"/>
      </w:pPr>
      <w:r>
        <w:t>Emergency Response During Dialysis</w:t>
      </w:r>
    </w:p>
    <w:p>
      <w:pPr>
        <w:pStyle w:val="ListBullet"/>
      </w:pPr>
      <w:r>
        <w:t>Patient Education (Fluid &amp; Diet Management)</w:t>
      </w:r>
    </w:p>
    <w:p>
      <w:pPr>
        <w:pStyle w:val="ListBullet"/>
      </w:pPr>
      <w:r>
        <w:t>Clinical Documentation &amp; Safety Standards</w:t>
      </w:r>
    </w:p>
    <w:p>
      <w:pPr>
        <w:pStyle w:val="Heading2"/>
      </w:pPr>
      <w:r>
        <w:t>PROFESSIONAL EXPERIENCE</w:t>
      </w:r>
    </w:p>
    <w:p>
      <w:pPr>
        <w:pStyle w:val="Heading3"/>
      </w:pPr>
      <w:r>
        <w:t>Dialysis Nurse – Islah Dialisis Sdn Bhd (Prima Sri Gombak)</w:t>
      </w:r>
    </w:p>
    <w:p>
      <w:r>
        <w:t>2017 – Present</w:t>
      </w:r>
    </w:p>
    <w:p>
      <w:pPr>
        <w:pStyle w:val="ListBullet"/>
      </w:pPr>
      <w:r>
        <w:t>Manage dialysis operations in a 22-machine unit, ensuring safe and efficient workflow per shift.</w:t>
      </w:r>
    </w:p>
    <w:p>
      <w:pPr>
        <w:pStyle w:val="ListBullet"/>
      </w:pPr>
      <w:r>
        <w:t>Perform comprehensive pre-dialysis assessment including vital signs, fluid balance, and vascular access evaluation.</w:t>
      </w:r>
    </w:p>
    <w:p>
      <w:pPr>
        <w:pStyle w:val="ListBullet"/>
      </w:pPr>
      <w:r>
        <w:t>Initiate, monitor, and terminate hemodialysis treatments independently according to physician prescription.</w:t>
      </w:r>
    </w:p>
    <w:p>
      <w:pPr>
        <w:pStyle w:val="ListBullet"/>
      </w:pPr>
      <w:r>
        <w:t>Perform AV fistula, AV graft, and CVC cannulation using strict aseptic technique.</w:t>
      </w:r>
    </w:p>
    <w:p>
      <w:pPr>
        <w:pStyle w:val="ListBullet"/>
      </w:pPr>
      <w:r>
        <w:t>Operate and troubleshoot dialysis machines including Fresenius 4008S, Nikkiso DBB-06, DBB-27, EXA-B, and Nipro Surdial 55Plus.</w:t>
      </w:r>
    </w:p>
    <w:p>
      <w:pPr>
        <w:pStyle w:val="ListBullet"/>
      </w:pPr>
      <w:r>
        <w:t>Monitor and manage dialysis-related complications such as hypotension, cramps, and adverse reactions.</w:t>
      </w:r>
    </w:p>
    <w:p>
      <w:pPr>
        <w:pStyle w:val="ListBullet"/>
      </w:pPr>
      <w:r>
        <w:t>Administer prescribed medications including anticoagulants, erythropoietin, and IV therapies.</w:t>
      </w:r>
    </w:p>
    <w:p>
      <w:pPr>
        <w:pStyle w:val="ListBullet"/>
      </w:pPr>
      <w:r>
        <w:t>Maintain strict infection control practices aligned with dialysis safety protocols.</w:t>
      </w:r>
    </w:p>
    <w:p>
      <w:pPr>
        <w:pStyle w:val="ListBullet"/>
      </w:pPr>
      <w:r>
        <w:t>Assist in mentoring junior staff and supporting clinical competency development.</w:t>
      </w:r>
    </w:p>
    <w:p>
      <w:pPr>
        <w:pStyle w:val="ListBullet"/>
      </w:pPr>
      <w:r>
        <w:t>Ensure accurate documentation and compliance with clinical governance standards.</w:t>
      </w:r>
    </w:p>
    <w:p>
      <w:pPr>
        <w:pStyle w:val="Heading2"/>
      </w:pPr>
      <w:r>
        <w:t>EDUCATION</w:t>
      </w:r>
    </w:p>
    <w:p>
      <w:r>
        <w:t>Diploma in Nursing (2017)</w:t>
        <w:br/>
        <w:t>Pusrawi International College of Medical Sciences (PICOMS), Malaysia</w:t>
      </w:r>
    </w:p>
    <w:p>
      <w:pPr>
        <w:pStyle w:val="Heading2"/>
      </w:pPr>
      <w:r>
        <w:t>CERTIFICATIONS</w:t>
      </w:r>
    </w:p>
    <w:p>
      <w:pPr>
        <w:pStyle w:val="ListBullet"/>
      </w:pPr>
      <w:r>
        <w:t>Post Basic Renal Nursing – Malaysia</w:t>
      </w:r>
    </w:p>
    <w:p>
      <w:pPr>
        <w:pStyle w:val="ListBullet"/>
      </w:pPr>
      <w:r>
        <w:t>Registered Nurse – Malaysian Nursing Board</w:t>
      </w:r>
    </w:p>
    <w:p>
      <w:pPr>
        <w:pStyle w:val="ListBullet"/>
      </w:pPr>
      <w:r>
        <w:t>Basic Life Support (BLS) / CPR Certified</w:t>
      </w:r>
    </w:p>
    <w:p>
      <w:pPr>
        <w:pStyle w:val="Heading2"/>
      </w:pPr>
      <w:r>
        <w:t>AWARDS &amp; ACHIEVEMENTS</w:t>
      </w:r>
    </w:p>
    <w:p>
      <w:pPr>
        <w:pStyle w:val="ListBullet"/>
      </w:pPr>
      <w:r>
        <w:t>Best Staff Award – Selected among 14 branches for outstanding clinical performance and patient care excellence.</w:t>
      </w:r>
    </w:p>
    <w:p>
      <w:pPr>
        <w:pStyle w:val="Heading2"/>
      </w:pPr>
      <w:r>
        <w:t>LANGUAGES</w:t>
      </w:r>
    </w:p>
    <w:p>
      <w:pPr>
        <w:pStyle w:val="ListBullet"/>
      </w:pPr>
      <w:r>
        <w:t>Bahasa Malaysia – Fluent</w:t>
      </w:r>
    </w:p>
    <w:p>
      <w:pPr>
        <w:pStyle w:val="ListBullet"/>
      </w:pPr>
      <w:r>
        <w:t>English – Professional Working Proficiency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ntTable" Target="fontTable.xml" /><Relationship Id="rId8" Type="http://schemas.openxmlformats.org/officeDocument/2006/relationships/theme" Target="theme/theme1.xml" /><Relationship Id="rId2" Type="http://schemas.openxmlformats.org/officeDocument/2006/relationships/numbering" Target="numbering.xml" /><Relationship Id="rId9" Type="http://schemas.openxmlformats.org/officeDocument/2006/relationships/image" Target="media/image1.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